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120" w:rsidRDefault="00CF7120" w:rsidP="00CF7120">
      <w:pPr>
        <w:spacing w:line="480" w:lineRule="auto"/>
        <w:rPr>
          <w:rFonts w:ascii="Times New Roman" w:hAnsi="Times New Roman" w:cs="Times New Roman"/>
          <w:sz w:val="24"/>
          <w:szCs w:val="24"/>
        </w:rPr>
      </w:pPr>
    </w:p>
    <w:p w:rsidR="00CF7120" w:rsidRDefault="00CF7120" w:rsidP="00CF712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Forecasting food and beverage sales </w:t>
      </w:r>
    </w:p>
    <w:p w:rsidR="00CF7120" w:rsidRDefault="00CF7120" w:rsidP="00CF7120">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w:t>
      </w:r>
    </w:p>
    <w:p w:rsidR="00CF7120" w:rsidRDefault="00CF7120" w:rsidP="00CF712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F22B1" w:rsidRDefault="006F22B1">
      <w:pPr>
        <w:rPr>
          <w:rFonts w:ascii="Times New Roman" w:hAnsi="Times New Roman" w:cs="Times New Roman"/>
          <w:sz w:val="24"/>
          <w:szCs w:val="24"/>
        </w:rPr>
      </w:pPr>
      <w:r>
        <w:rPr>
          <w:rFonts w:ascii="Times New Roman" w:hAnsi="Times New Roman" w:cs="Times New Roman"/>
          <w:sz w:val="24"/>
          <w:szCs w:val="24"/>
        </w:rPr>
        <w:br w:type="page"/>
      </w:r>
    </w:p>
    <w:p w:rsidR="00CF7120" w:rsidRDefault="00CF7120" w:rsidP="00CF712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Forecasting food and beverage sales </w:t>
      </w:r>
      <w:bookmarkStart w:id="0" w:name="_GoBack"/>
      <w:bookmarkEnd w:id="0"/>
    </w:p>
    <w:p w:rsidR="00930131" w:rsidRPr="006F22B1" w:rsidRDefault="006F22B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Both the individual firm and the economy as a whole enjoy the beneficial effect of better sales forecasting processes. They take hold in broader terms throughout the industry. This has been argued by Wallace, &amp; Stahl (2002). The new economy is believed to function better as the considerable number of manufacturing enterprises have the ability to have a well-formed forecasting model. The purpose of this report is to forecast Food and Beverage Sales in the vintage restaurant, on Captiva Island near Fort Myers, Florida, is owned and operated by Karen Payne. It will estimate the correctness of the forecast sales for January through December of the fourth year. The forecast error is conveyed in the report. By the statistical data of the summer,</w:t>
      </w:r>
    </w:p>
    <w:tbl>
      <w:tblPr>
        <w:tblStyle w:val="TableGrid"/>
        <w:tblW w:w="10762" w:type="dxa"/>
        <w:tblInd w:w="-545" w:type="dxa"/>
        <w:tblLook w:val="04A0" w:firstRow="1" w:lastRow="0" w:firstColumn="1" w:lastColumn="0" w:noHBand="0" w:noVBand="1"/>
      </w:tblPr>
      <w:tblGrid>
        <w:gridCol w:w="763"/>
        <w:gridCol w:w="876"/>
        <w:gridCol w:w="876"/>
        <w:gridCol w:w="843"/>
        <w:gridCol w:w="756"/>
        <w:gridCol w:w="876"/>
        <w:gridCol w:w="876"/>
        <w:gridCol w:w="756"/>
        <w:gridCol w:w="876"/>
        <w:gridCol w:w="876"/>
        <w:gridCol w:w="756"/>
        <w:gridCol w:w="756"/>
        <w:gridCol w:w="876"/>
      </w:tblGrid>
      <w:tr w:rsidR="00930131" w:rsidRPr="006F22B1" w:rsidTr="006F22B1">
        <w:tc>
          <w:tcPr>
            <w:tcW w:w="763"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 xml:space="preserve">Year </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 xml:space="preserve">Jan </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 xml:space="preserve">Feb </w:t>
            </w:r>
          </w:p>
        </w:tc>
        <w:tc>
          <w:tcPr>
            <w:tcW w:w="843"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 xml:space="preserve">March </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 xml:space="preserve">April </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 xml:space="preserve">May </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 xml:space="preserve">June </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 xml:space="preserve">July </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 xml:space="preserve">Aug </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 xml:space="preserve">Sep </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 xml:space="preserve">Oct </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 xml:space="preserve">Nov </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 xml:space="preserve">Dec  </w:t>
            </w:r>
          </w:p>
        </w:tc>
      </w:tr>
      <w:tr w:rsidR="00930131" w:rsidRPr="006F22B1" w:rsidTr="006F22B1">
        <w:tc>
          <w:tcPr>
            <w:tcW w:w="763"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242</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235</w:t>
            </w:r>
          </w:p>
        </w:tc>
        <w:tc>
          <w:tcPr>
            <w:tcW w:w="843"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232</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178</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184</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140</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145</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152</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110</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130</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152</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206</w:t>
            </w:r>
          </w:p>
        </w:tc>
      </w:tr>
      <w:tr w:rsidR="00930131" w:rsidRPr="006F22B1" w:rsidTr="006F22B1">
        <w:tc>
          <w:tcPr>
            <w:tcW w:w="763"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263</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238</w:t>
            </w:r>
          </w:p>
        </w:tc>
        <w:tc>
          <w:tcPr>
            <w:tcW w:w="843"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247</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193</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193</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149</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157</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161</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122</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130</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167</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230</w:t>
            </w:r>
          </w:p>
        </w:tc>
      </w:tr>
      <w:tr w:rsidR="00930131" w:rsidRPr="006F22B1" w:rsidTr="006F22B1">
        <w:trPr>
          <w:trHeight w:val="305"/>
        </w:trPr>
        <w:tc>
          <w:tcPr>
            <w:tcW w:w="763"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4</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282</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255</w:t>
            </w:r>
          </w:p>
        </w:tc>
        <w:tc>
          <w:tcPr>
            <w:tcW w:w="843"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265</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205</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210</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160</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166</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174</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126</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148</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173</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235</w:t>
            </w:r>
          </w:p>
        </w:tc>
      </w:tr>
      <w:tr w:rsidR="00930131" w:rsidRPr="006F22B1" w:rsidTr="006F22B1">
        <w:tc>
          <w:tcPr>
            <w:tcW w:w="763"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Total</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787</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728</w:t>
            </w:r>
          </w:p>
        </w:tc>
        <w:tc>
          <w:tcPr>
            <w:tcW w:w="843"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744</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576</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587</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449</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468</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487</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358</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408</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492</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671</w:t>
            </w:r>
          </w:p>
        </w:tc>
      </w:tr>
      <w:tr w:rsidR="00930131" w:rsidRPr="006F22B1" w:rsidTr="006F22B1">
        <w:tc>
          <w:tcPr>
            <w:tcW w:w="763"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 xml:space="preserve">Mean </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262.33</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262.67</w:t>
            </w:r>
          </w:p>
        </w:tc>
        <w:tc>
          <w:tcPr>
            <w:tcW w:w="843"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248</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192</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195.67</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149.67</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156</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162.33</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119.33</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108</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117</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223.67</w:t>
            </w:r>
          </w:p>
        </w:tc>
      </w:tr>
      <w:tr w:rsidR="00930131" w:rsidRPr="006F22B1" w:rsidTr="006F22B1">
        <w:tc>
          <w:tcPr>
            <w:tcW w:w="763"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Var</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400.33</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116.33</w:t>
            </w:r>
          </w:p>
        </w:tc>
        <w:tc>
          <w:tcPr>
            <w:tcW w:w="843"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273</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183</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174.33</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100.33</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111</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122.33</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69.33</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108</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117</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240.33</w:t>
            </w:r>
          </w:p>
        </w:tc>
      </w:tr>
      <w:tr w:rsidR="00930131" w:rsidRPr="006F22B1" w:rsidTr="006F22B1">
        <w:trPr>
          <w:trHeight w:val="70"/>
        </w:trPr>
        <w:tc>
          <w:tcPr>
            <w:tcW w:w="763"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 xml:space="preserve">St </w:t>
            </w:r>
            <w:r w:rsidR="00C22174" w:rsidRPr="006F22B1">
              <w:rPr>
                <w:rFonts w:ascii="Times New Roman" w:hAnsi="Times New Roman" w:cs="Times New Roman"/>
                <w:sz w:val="24"/>
                <w:szCs w:val="24"/>
              </w:rPr>
              <w:t>Dev.</w:t>
            </w:r>
            <w:r w:rsidRPr="006F22B1">
              <w:rPr>
                <w:rFonts w:ascii="Times New Roman" w:hAnsi="Times New Roman" w:cs="Times New Roman"/>
                <w:sz w:val="24"/>
                <w:szCs w:val="24"/>
              </w:rPr>
              <w:t xml:space="preserve"> </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20.01</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10.79</w:t>
            </w:r>
          </w:p>
        </w:tc>
        <w:tc>
          <w:tcPr>
            <w:tcW w:w="843"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16.52</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13.53</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13.20</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10.02</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10.54</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11.06</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8.33</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10.39</w:t>
            </w:r>
          </w:p>
        </w:tc>
        <w:tc>
          <w:tcPr>
            <w:tcW w:w="75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10.82</w:t>
            </w:r>
          </w:p>
        </w:tc>
        <w:tc>
          <w:tcPr>
            <w:tcW w:w="876" w:type="dxa"/>
          </w:tcPr>
          <w:p w:rsidR="00930131" w:rsidRPr="006F22B1" w:rsidRDefault="0093013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240.33</w:t>
            </w:r>
          </w:p>
        </w:tc>
      </w:tr>
    </w:tbl>
    <w:p w:rsidR="006F22B1" w:rsidRPr="006F22B1" w:rsidRDefault="006F22B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Total sales for year 1, 2, 3 are 2106, 2250 and 2399 respectively, with a mean of 6755, variance of 2251.67 and standard deviation of 21464. For illustration, 176.38 is got by finding the summation of 175.5 and 177.25 and the sum total divided by 2. Therefore, by finding the percentage of 145÷176.38 the resultant figure is 82.21%. By calculation of the seasonal index, the results are as below;</w:t>
      </w:r>
    </w:p>
    <w:p w:rsidR="008C65C8" w:rsidRPr="006F22B1" w:rsidRDefault="006F22B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lastRenderedPageBreak/>
        <w:t>The mean total is 1199.48% and the adjusted mean is 144.3 and the grand total mean becomes 120.00%. By illustration, the total of means is equal to 1199.485%. 1.0004% × 144.3% which is equal to 144.36%. The above total is to be adjusted to 1200.00% for the 12 months in a year and the adjusting factor is given as; 1200%÷1199.485=1.0004. To analyze the data in seasonal terms in order to get the de-seasonal data is given by dividing the attendance by seasonal index. For example, for year 1; 242÷144.36%=168, 235÷129.97%=181 and 232÷134.41%=173 for the months of January, February and March respectively. The de-seasonal attendance is calculated up to year 3. By use of the de-seasonal data to predict trend sales for the next 12 months, calculation of the regression equation is done first and then the equation is used to predict sales for the next 12 months. By Calculation of regression coefficients using the equations, ΣY=na+b1ΣX, the value of a=36 and b1=666. In ΣXY=aΣX1+b1ΣX2, a=666 and b1=16206. By using matrix and inverse of the matrix to calculate the coefficients, the value of a=169.4143 and b1=16206. Hence regression equation; Y=169.4143+1.0181X. The trend sales are predicted for the next 12 months using the regression equation where x=37 to 48 corresponding to Jan of year 4 to Dec of year 4 and the monthly forecasts for the 12 months of the fourth year is given as</w:t>
      </w:r>
      <w:r w:rsidRPr="006F22B1">
        <w:rPr>
          <w:rFonts w:ascii="Times New Roman" w:hAnsi="Times New Roman" w:cs="Times New Roman"/>
          <w:sz w:val="24"/>
          <w:szCs w:val="24"/>
        </w:rPr>
        <w:t>;</w:t>
      </w:r>
    </w:p>
    <w:tbl>
      <w:tblPr>
        <w:tblW w:w="11340" w:type="dxa"/>
        <w:tblInd w:w="-910" w:type="dxa"/>
        <w:shd w:val="clear" w:color="auto" w:fill="C0C0C0"/>
        <w:tblLayout w:type="fixed"/>
        <w:tblCellMar>
          <w:left w:w="0" w:type="dxa"/>
          <w:right w:w="0" w:type="dxa"/>
        </w:tblCellMar>
        <w:tblLook w:val="04A0" w:firstRow="1" w:lastRow="0" w:firstColumn="1" w:lastColumn="0" w:noHBand="0" w:noVBand="1"/>
      </w:tblPr>
      <w:tblGrid>
        <w:gridCol w:w="1080"/>
        <w:gridCol w:w="720"/>
        <w:gridCol w:w="735"/>
        <w:gridCol w:w="779"/>
        <w:gridCol w:w="779"/>
        <w:gridCol w:w="779"/>
        <w:gridCol w:w="779"/>
        <w:gridCol w:w="779"/>
        <w:gridCol w:w="779"/>
        <w:gridCol w:w="711"/>
        <w:gridCol w:w="1170"/>
        <w:gridCol w:w="1080"/>
        <w:gridCol w:w="1170"/>
      </w:tblGrid>
      <w:tr w:rsidR="00F104E6" w:rsidRPr="006F22B1" w:rsidTr="00F104E6">
        <w:trPr>
          <w:trHeight w:val="500"/>
        </w:trPr>
        <w:tc>
          <w:tcPr>
            <w:tcW w:w="10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Mont h (yr.4)</w:t>
            </w:r>
          </w:p>
        </w:tc>
        <w:tc>
          <w:tcPr>
            <w:tcW w:w="7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Jan</w:t>
            </w:r>
          </w:p>
        </w:tc>
        <w:tc>
          <w:tcPr>
            <w:tcW w:w="735"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Feb</w:t>
            </w:r>
          </w:p>
        </w:tc>
        <w:tc>
          <w:tcPr>
            <w:tcW w:w="7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Mar</w:t>
            </w:r>
          </w:p>
        </w:tc>
        <w:tc>
          <w:tcPr>
            <w:tcW w:w="7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April</w:t>
            </w:r>
          </w:p>
        </w:tc>
        <w:tc>
          <w:tcPr>
            <w:tcW w:w="7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May</w:t>
            </w:r>
          </w:p>
        </w:tc>
        <w:tc>
          <w:tcPr>
            <w:tcW w:w="7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June</w:t>
            </w:r>
          </w:p>
        </w:tc>
        <w:tc>
          <w:tcPr>
            <w:tcW w:w="7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July</w:t>
            </w:r>
          </w:p>
        </w:tc>
        <w:tc>
          <w:tcPr>
            <w:tcW w:w="7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Aug</w:t>
            </w:r>
          </w:p>
        </w:tc>
        <w:tc>
          <w:tcPr>
            <w:tcW w:w="71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Sep</w:t>
            </w:r>
          </w:p>
        </w:tc>
        <w:tc>
          <w:tcPr>
            <w:tcW w:w="117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Oct</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Nov</w:t>
            </w:r>
          </w:p>
        </w:tc>
        <w:tc>
          <w:tcPr>
            <w:tcW w:w="117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Dec</w:t>
            </w:r>
          </w:p>
        </w:tc>
      </w:tr>
      <w:tr w:rsidR="00F104E6" w:rsidRPr="006F22B1" w:rsidTr="00F104E6">
        <w:trPr>
          <w:trHeight w:val="300"/>
        </w:trPr>
        <w:tc>
          <w:tcPr>
            <w:tcW w:w="10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S. Index</w:t>
            </w:r>
          </w:p>
        </w:tc>
        <w:tc>
          <w:tcPr>
            <w:tcW w:w="7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1.398</w:t>
            </w:r>
          </w:p>
        </w:tc>
        <w:tc>
          <w:tcPr>
            <w:tcW w:w="735"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1.293</w:t>
            </w:r>
          </w:p>
        </w:tc>
        <w:tc>
          <w:tcPr>
            <w:tcW w:w="7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1.322</w:t>
            </w:r>
          </w:p>
        </w:tc>
        <w:tc>
          <w:tcPr>
            <w:tcW w:w="7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1.023</w:t>
            </w:r>
          </w:p>
        </w:tc>
        <w:tc>
          <w:tcPr>
            <w:tcW w:w="7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1.043</w:t>
            </w:r>
          </w:p>
        </w:tc>
        <w:tc>
          <w:tcPr>
            <w:tcW w:w="7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0.798</w:t>
            </w:r>
          </w:p>
        </w:tc>
        <w:tc>
          <w:tcPr>
            <w:tcW w:w="7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0.831</w:t>
            </w:r>
          </w:p>
        </w:tc>
        <w:tc>
          <w:tcPr>
            <w:tcW w:w="7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0.865</w:t>
            </w:r>
          </w:p>
        </w:tc>
        <w:tc>
          <w:tcPr>
            <w:tcW w:w="71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0.636</w:t>
            </w:r>
          </w:p>
        </w:tc>
        <w:tc>
          <w:tcPr>
            <w:tcW w:w="117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0.725</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0.874</w:t>
            </w:r>
          </w:p>
        </w:tc>
        <w:tc>
          <w:tcPr>
            <w:tcW w:w="117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1.192</w:t>
            </w:r>
          </w:p>
        </w:tc>
      </w:tr>
      <w:tr w:rsidR="00F104E6" w:rsidRPr="006F22B1" w:rsidTr="00F104E6">
        <w:trPr>
          <w:trHeight w:val="240"/>
        </w:trPr>
        <w:tc>
          <w:tcPr>
            <w:tcW w:w="10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Forecast</w:t>
            </w:r>
          </w:p>
        </w:tc>
        <w:tc>
          <w:tcPr>
            <w:tcW w:w="7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296.45755</w:t>
            </w:r>
          </w:p>
        </w:tc>
        <w:tc>
          <w:tcPr>
            <w:tcW w:w="735"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274.19143</w:t>
            </w:r>
          </w:p>
        </w:tc>
        <w:tc>
          <w:tcPr>
            <w:tcW w:w="7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280.3411</w:t>
            </w:r>
          </w:p>
        </w:tc>
        <w:tc>
          <w:tcPr>
            <w:tcW w:w="7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216.9357</w:t>
            </w:r>
          </w:p>
        </w:tc>
        <w:tc>
          <w:tcPr>
            <w:tcW w:w="7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221.1768</w:t>
            </w:r>
          </w:p>
        </w:tc>
        <w:tc>
          <w:tcPr>
            <w:tcW w:w="7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169.2226</w:t>
            </w:r>
          </w:p>
        </w:tc>
        <w:tc>
          <w:tcPr>
            <w:tcW w:w="7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176.2205</w:t>
            </w:r>
          </w:p>
        </w:tc>
        <w:tc>
          <w:tcPr>
            <w:tcW w:w="7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183.4305</w:t>
            </w:r>
          </w:p>
        </w:tc>
        <w:tc>
          <w:tcPr>
            <w:tcW w:w="71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134.8691</w:t>
            </w:r>
          </w:p>
        </w:tc>
        <w:tc>
          <w:tcPr>
            <w:tcW w:w="117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153.7423</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185.339</w:t>
            </w:r>
          </w:p>
        </w:tc>
        <w:tc>
          <w:tcPr>
            <w:tcW w:w="117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rsidR="00F104E6" w:rsidRPr="006F22B1" w:rsidRDefault="00F104E6"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252.7735</w:t>
            </w:r>
          </w:p>
        </w:tc>
      </w:tr>
    </w:tbl>
    <w:p w:rsidR="00AC7D0C" w:rsidRPr="006F22B1" w:rsidRDefault="00AC7D0C" w:rsidP="006F22B1">
      <w:pPr>
        <w:spacing w:line="480" w:lineRule="auto"/>
        <w:rPr>
          <w:rFonts w:ascii="Times New Roman" w:hAnsi="Times New Roman" w:cs="Times New Roman"/>
          <w:sz w:val="24"/>
          <w:szCs w:val="24"/>
        </w:rPr>
      </w:pPr>
      <w:r w:rsidRPr="006F22B1">
        <w:rPr>
          <w:rFonts w:ascii="Times New Roman" w:hAnsi="Times New Roman" w:cs="Times New Roman"/>
          <w:noProof/>
          <w:sz w:val="24"/>
          <w:szCs w:val="24"/>
        </w:rPr>
        <w:lastRenderedPageBreak/>
        <w:drawing>
          <wp:inline distT="0" distB="0" distL="0" distR="0" wp14:anchorId="388B80C2" wp14:editId="5AD77335">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6F22B1" w:rsidRPr="006F22B1" w:rsidRDefault="006F22B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There are seasonal variations where the sales made are decreasing from January to September with the effect of fluctuations and sales increases at an increasing rate towards the month of December.</w:t>
      </w:r>
    </w:p>
    <w:p w:rsidR="006F22B1" w:rsidRPr="006F22B1" w:rsidRDefault="006F22B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 xml:space="preserve">The forecasted January sales are $296,458. Supposing that the actual January sales for the fourth year turn out to be $295,000. Error between actual and forecasted sales is equal to $296,458 - $295,000 = $1458. Percentage Error = (error÷ actual sales) × 100= 0.49%. </w:t>
      </w:r>
    </w:p>
    <w:p w:rsidR="006F22B1" w:rsidRPr="006F22B1" w:rsidRDefault="006F22B1" w:rsidP="006F22B1">
      <w:pPr>
        <w:spacing w:line="480" w:lineRule="auto"/>
        <w:rPr>
          <w:rFonts w:ascii="Times New Roman" w:hAnsi="Times New Roman" w:cs="Times New Roman"/>
          <w:sz w:val="24"/>
          <w:szCs w:val="24"/>
        </w:rPr>
      </w:pPr>
      <w:r w:rsidRPr="006F22B1">
        <w:rPr>
          <w:rFonts w:ascii="Times New Roman" w:hAnsi="Times New Roman" w:cs="Times New Roman"/>
          <w:sz w:val="24"/>
          <w:szCs w:val="24"/>
        </w:rPr>
        <w:t>Karen Payne should be assured that her representation to forecast the future sales is extremely favorable and she should not be worried since the percentage error is extremely small.</w:t>
      </w:r>
    </w:p>
    <w:p w:rsidR="008A6DDD" w:rsidRPr="006F22B1" w:rsidRDefault="006F22B1" w:rsidP="006F22B1">
      <w:pPr>
        <w:spacing w:line="480" w:lineRule="auto"/>
        <w:rPr>
          <w:rFonts w:ascii="Times New Roman" w:hAnsi="Times New Roman" w:cs="Times New Roman"/>
          <w:color w:val="333333"/>
          <w:sz w:val="24"/>
          <w:szCs w:val="24"/>
          <w:shd w:val="clear" w:color="auto" w:fill="FFFFFF"/>
        </w:rPr>
      </w:pPr>
      <w:r w:rsidRPr="006F22B1">
        <w:rPr>
          <w:rFonts w:ascii="Times New Roman" w:hAnsi="Times New Roman" w:cs="Times New Roman"/>
          <w:sz w:val="24"/>
          <w:szCs w:val="24"/>
        </w:rPr>
        <w:t xml:space="preserve">To resolve her uncertainty in the forecasting procedure, Karen Payne should avoid being so complicated since the business does not entail processes that are hyper-complicated. For this reason, procedures that involve a high level of mathematical calculation and projections are omitted. Inclusion, simple, specific software and applications are readily available to evaluate sales forecasting that gives access to an audit trail. Wallace&amp; Stahl (2002). </w:t>
      </w:r>
      <w:r w:rsidR="008A6DDD" w:rsidRPr="006F22B1">
        <w:rPr>
          <w:rFonts w:ascii="Times New Roman" w:hAnsi="Times New Roman" w:cs="Times New Roman"/>
          <w:color w:val="333333"/>
          <w:sz w:val="24"/>
          <w:szCs w:val="24"/>
          <w:shd w:val="clear" w:color="auto" w:fill="FFFFFF"/>
        </w:rPr>
        <w:br w:type="page"/>
      </w:r>
    </w:p>
    <w:p w:rsidR="002331B9" w:rsidRPr="006F22B1" w:rsidRDefault="008A6DDD" w:rsidP="006F22B1">
      <w:pPr>
        <w:spacing w:line="480" w:lineRule="auto"/>
        <w:jc w:val="center"/>
        <w:rPr>
          <w:rFonts w:ascii="Times New Roman" w:hAnsi="Times New Roman" w:cs="Times New Roman"/>
          <w:sz w:val="24"/>
          <w:szCs w:val="24"/>
        </w:rPr>
      </w:pPr>
      <w:r w:rsidRPr="006F22B1">
        <w:rPr>
          <w:rFonts w:ascii="Times New Roman" w:hAnsi="Times New Roman" w:cs="Times New Roman"/>
          <w:sz w:val="24"/>
          <w:szCs w:val="24"/>
        </w:rPr>
        <w:lastRenderedPageBreak/>
        <w:t xml:space="preserve">Reference </w:t>
      </w:r>
    </w:p>
    <w:p w:rsidR="008A6DDD" w:rsidRPr="006F22B1" w:rsidRDefault="008A6DDD" w:rsidP="006F22B1">
      <w:pPr>
        <w:spacing w:line="480" w:lineRule="auto"/>
        <w:ind w:left="2160" w:hanging="720"/>
        <w:jc w:val="center"/>
        <w:rPr>
          <w:rFonts w:ascii="Times New Roman" w:hAnsi="Times New Roman" w:cs="Times New Roman"/>
          <w:sz w:val="24"/>
          <w:szCs w:val="24"/>
        </w:rPr>
      </w:pPr>
      <w:r w:rsidRPr="006F22B1">
        <w:rPr>
          <w:rFonts w:ascii="Times New Roman" w:hAnsi="Times New Roman" w:cs="Times New Roman"/>
          <w:color w:val="222222"/>
          <w:sz w:val="24"/>
          <w:szCs w:val="24"/>
          <w:shd w:val="clear" w:color="auto" w:fill="FFFFFF"/>
        </w:rPr>
        <w:t>Wallace, T. F., &amp; Stahl, R. A. (2002). </w:t>
      </w:r>
      <w:r w:rsidRPr="006F22B1">
        <w:rPr>
          <w:rFonts w:ascii="Times New Roman" w:hAnsi="Times New Roman" w:cs="Times New Roman"/>
          <w:i/>
          <w:iCs/>
          <w:color w:val="222222"/>
          <w:sz w:val="24"/>
          <w:szCs w:val="24"/>
          <w:shd w:val="clear" w:color="auto" w:fill="FFFFFF"/>
        </w:rPr>
        <w:t>Sales forecasting: a new approach: why and how to emphasize teamwork, not formulas, forecast less, not more, focus on process improvement, not forecast accuracy</w:t>
      </w:r>
      <w:r w:rsidRPr="006F22B1">
        <w:rPr>
          <w:rFonts w:ascii="Times New Roman" w:hAnsi="Times New Roman" w:cs="Times New Roman"/>
          <w:color w:val="222222"/>
          <w:sz w:val="24"/>
          <w:szCs w:val="24"/>
          <w:shd w:val="clear" w:color="auto" w:fill="FFFFFF"/>
        </w:rPr>
        <w:t>. TF Wallace &amp; CO.</w:t>
      </w:r>
    </w:p>
    <w:sectPr w:rsidR="008A6DDD" w:rsidRPr="006F22B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17C8" w:rsidRDefault="00AE17C8" w:rsidP="006F22B1">
      <w:pPr>
        <w:spacing w:after="0" w:line="240" w:lineRule="auto"/>
      </w:pPr>
      <w:r>
        <w:separator/>
      </w:r>
    </w:p>
  </w:endnote>
  <w:endnote w:type="continuationSeparator" w:id="0">
    <w:p w:rsidR="00AE17C8" w:rsidRDefault="00AE17C8" w:rsidP="006F2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17C8" w:rsidRDefault="00AE17C8" w:rsidP="006F22B1">
      <w:pPr>
        <w:spacing w:after="0" w:line="240" w:lineRule="auto"/>
      </w:pPr>
      <w:r>
        <w:separator/>
      </w:r>
    </w:p>
  </w:footnote>
  <w:footnote w:type="continuationSeparator" w:id="0">
    <w:p w:rsidR="00AE17C8" w:rsidRDefault="00AE17C8" w:rsidP="006F22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9777013"/>
      <w:docPartObj>
        <w:docPartGallery w:val="Page Numbers (Top of Page)"/>
        <w:docPartUnique/>
      </w:docPartObj>
    </w:sdtPr>
    <w:sdtEndPr>
      <w:rPr>
        <w:noProof/>
      </w:rPr>
    </w:sdtEndPr>
    <w:sdtContent>
      <w:p w:rsidR="006F22B1" w:rsidRDefault="006F22B1">
        <w:pPr>
          <w:pStyle w:val="Header"/>
          <w:jc w:val="right"/>
        </w:pPr>
        <w:r>
          <w:t xml:space="preserve">Running head: </w:t>
        </w:r>
        <w:r>
          <w:t>FORECASTING FOOD AND BEVERAGE SALES</w:t>
        </w:r>
        <w:r>
          <w:t xml:space="preserve">                                                                                 </w:t>
        </w:r>
        <w:r>
          <w:fldChar w:fldCharType="begin"/>
        </w:r>
        <w:r>
          <w:instrText xml:space="preserve"> PAGE   \* MERGEFORMAT </w:instrText>
        </w:r>
        <w:r>
          <w:fldChar w:fldCharType="separate"/>
        </w:r>
        <w:r w:rsidR="00626963">
          <w:rPr>
            <w:noProof/>
          </w:rPr>
          <w:t>2</w:t>
        </w:r>
        <w:r>
          <w:rPr>
            <w:noProof/>
          </w:rPr>
          <w:fldChar w:fldCharType="end"/>
        </w:r>
      </w:p>
    </w:sdtContent>
  </w:sdt>
  <w:p w:rsidR="006F22B1" w:rsidRDefault="006F22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2454C7"/>
    <w:multiLevelType w:val="hybridMultilevel"/>
    <w:tmpl w:val="16763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713"/>
    <w:rsid w:val="00014F3E"/>
    <w:rsid w:val="00091083"/>
    <w:rsid w:val="001B2206"/>
    <w:rsid w:val="002331B9"/>
    <w:rsid w:val="002F623E"/>
    <w:rsid w:val="00354C7D"/>
    <w:rsid w:val="003D7A15"/>
    <w:rsid w:val="004514F3"/>
    <w:rsid w:val="005E0863"/>
    <w:rsid w:val="00626963"/>
    <w:rsid w:val="006F22B1"/>
    <w:rsid w:val="00762414"/>
    <w:rsid w:val="00802FE1"/>
    <w:rsid w:val="008A6DDD"/>
    <w:rsid w:val="008C65C8"/>
    <w:rsid w:val="008C6984"/>
    <w:rsid w:val="008D4144"/>
    <w:rsid w:val="00930131"/>
    <w:rsid w:val="00973D0C"/>
    <w:rsid w:val="009C3FEE"/>
    <w:rsid w:val="00A37D59"/>
    <w:rsid w:val="00A81E09"/>
    <w:rsid w:val="00AC7D0C"/>
    <w:rsid w:val="00AE17C8"/>
    <w:rsid w:val="00BC7713"/>
    <w:rsid w:val="00BF3E2B"/>
    <w:rsid w:val="00C22174"/>
    <w:rsid w:val="00CF6FAE"/>
    <w:rsid w:val="00CF7120"/>
    <w:rsid w:val="00D02AFA"/>
    <w:rsid w:val="00D254AA"/>
    <w:rsid w:val="00D31D5A"/>
    <w:rsid w:val="00D42520"/>
    <w:rsid w:val="00E17B0F"/>
    <w:rsid w:val="00F104E6"/>
    <w:rsid w:val="00F44A77"/>
    <w:rsid w:val="00F56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DF1E7F7-6948-4454-8DAA-CD9DBA28D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C77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13"/>
    <w:rPr>
      <w:color w:val="0563C1" w:themeColor="hyperlink"/>
      <w:u w:val="single"/>
    </w:rPr>
  </w:style>
  <w:style w:type="character" w:customStyle="1" w:styleId="Heading1Char">
    <w:name w:val="Heading 1 Char"/>
    <w:basedOn w:val="DefaultParagraphFont"/>
    <w:link w:val="Heading1"/>
    <w:uiPriority w:val="9"/>
    <w:rsid w:val="00BC7713"/>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BC7713"/>
    <w:pPr>
      <w:ind w:left="720"/>
      <w:contextualSpacing/>
    </w:pPr>
  </w:style>
  <w:style w:type="table" w:styleId="TableGrid">
    <w:name w:val="Table Grid"/>
    <w:basedOn w:val="TableNormal"/>
    <w:uiPriority w:val="39"/>
    <w:rsid w:val="00D31D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0">
    <w:name w:val="c0"/>
    <w:basedOn w:val="Normal"/>
    <w:rsid w:val="00973D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3">
    <w:name w:val="c93"/>
    <w:basedOn w:val="DefaultParagraphFont"/>
    <w:rsid w:val="00973D0C"/>
  </w:style>
  <w:style w:type="character" w:customStyle="1" w:styleId="c8">
    <w:name w:val="c8"/>
    <w:basedOn w:val="DefaultParagraphFont"/>
    <w:rsid w:val="00973D0C"/>
  </w:style>
  <w:style w:type="paragraph" w:customStyle="1" w:styleId="c12">
    <w:name w:val="c12"/>
    <w:basedOn w:val="Normal"/>
    <w:rsid w:val="00973D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5">
    <w:name w:val="c15"/>
    <w:basedOn w:val="Normal"/>
    <w:rsid w:val="00802F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DefaultParagraphFont"/>
    <w:rsid w:val="00802FE1"/>
  </w:style>
  <w:style w:type="character" w:customStyle="1" w:styleId="c250">
    <w:name w:val="c250"/>
    <w:basedOn w:val="DefaultParagraphFont"/>
    <w:rsid w:val="00E17B0F"/>
  </w:style>
  <w:style w:type="character" w:customStyle="1" w:styleId="c62">
    <w:name w:val="c62"/>
    <w:basedOn w:val="DefaultParagraphFont"/>
    <w:rsid w:val="00D254AA"/>
  </w:style>
  <w:style w:type="character" w:customStyle="1" w:styleId="c247">
    <w:name w:val="c247"/>
    <w:basedOn w:val="DefaultParagraphFont"/>
    <w:rsid w:val="00D254AA"/>
  </w:style>
  <w:style w:type="character" w:customStyle="1" w:styleId="c171">
    <w:name w:val="c171"/>
    <w:basedOn w:val="DefaultParagraphFont"/>
    <w:rsid w:val="00D254AA"/>
  </w:style>
  <w:style w:type="character" w:customStyle="1" w:styleId="c341">
    <w:name w:val="c341"/>
    <w:basedOn w:val="DefaultParagraphFont"/>
    <w:rsid w:val="00D254AA"/>
  </w:style>
  <w:style w:type="paragraph" w:customStyle="1" w:styleId="c257">
    <w:name w:val="c257"/>
    <w:basedOn w:val="Normal"/>
    <w:rsid w:val="008C65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9">
    <w:name w:val="c69"/>
    <w:basedOn w:val="DefaultParagraphFont"/>
    <w:rsid w:val="008C65C8"/>
  </w:style>
  <w:style w:type="paragraph" w:customStyle="1" w:styleId="c44">
    <w:name w:val="c44"/>
    <w:basedOn w:val="Normal"/>
    <w:rsid w:val="008C65C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F22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2B1"/>
  </w:style>
  <w:style w:type="paragraph" w:styleId="Footer">
    <w:name w:val="footer"/>
    <w:basedOn w:val="Normal"/>
    <w:link w:val="FooterChar"/>
    <w:uiPriority w:val="99"/>
    <w:unhideWhenUsed/>
    <w:rsid w:val="006F22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257298">
      <w:bodyDiv w:val="1"/>
      <w:marLeft w:val="0"/>
      <w:marRight w:val="0"/>
      <w:marTop w:val="0"/>
      <w:marBottom w:val="0"/>
      <w:divBdr>
        <w:top w:val="none" w:sz="0" w:space="0" w:color="auto"/>
        <w:left w:val="none" w:sz="0" w:space="0" w:color="auto"/>
        <w:bottom w:val="none" w:sz="0" w:space="0" w:color="auto"/>
        <w:right w:val="none" w:sz="0" w:space="0" w:color="auto"/>
      </w:divBdr>
    </w:div>
    <w:div w:id="434789142">
      <w:bodyDiv w:val="1"/>
      <w:marLeft w:val="0"/>
      <w:marRight w:val="0"/>
      <w:marTop w:val="0"/>
      <w:marBottom w:val="0"/>
      <w:divBdr>
        <w:top w:val="none" w:sz="0" w:space="0" w:color="auto"/>
        <w:left w:val="none" w:sz="0" w:space="0" w:color="auto"/>
        <w:bottom w:val="none" w:sz="0" w:space="0" w:color="auto"/>
        <w:right w:val="none" w:sz="0" w:space="0" w:color="auto"/>
      </w:divBdr>
    </w:div>
    <w:div w:id="836001766">
      <w:bodyDiv w:val="1"/>
      <w:marLeft w:val="0"/>
      <w:marRight w:val="0"/>
      <w:marTop w:val="0"/>
      <w:marBottom w:val="0"/>
      <w:divBdr>
        <w:top w:val="none" w:sz="0" w:space="0" w:color="auto"/>
        <w:left w:val="none" w:sz="0" w:space="0" w:color="auto"/>
        <w:bottom w:val="none" w:sz="0" w:space="0" w:color="auto"/>
        <w:right w:val="none" w:sz="0" w:space="0" w:color="auto"/>
      </w:divBdr>
    </w:div>
    <w:div w:id="911039450">
      <w:bodyDiv w:val="1"/>
      <w:marLeft w:val="0"/>
      <w:marRight w:val="0"/>
      <w:marTop w:val="0"/>
      <w:marBottom w:val="0"/>
      <w:divBdr>
        <w:top w:val="none" w:sz="0" w:space="0" w:color="auto"/>
        <w:left w:val="none" w:sz="0" w:space="0" w:color="auto"/>
        <w:bottom w:val="none" w:sz="0" w:space="0" w:color="auto"/>
        <w:right w:val="none" w:sz="0" w:space="0" w:color="auto"/>
      </w:divBdr>
    </w:div>
    <w:div w:id="945505945">
      <w:bodyDiv w:val="1"/>
      <w:marLeft w:val="0"/>
      <w:marRight w:val="0"/>
      <w:marTop w:val="0"/>
      <w:marBottom w:val="0"/>
      <w:divBdr>
        <w:top w:val="none" w:sz="0" w:space="0" w:color="auto"/>
        <w:left w:val="none" w:sz="0" w:space="0" w:color="auto"/>
        <w:bottom w:val="none" w:sz="0" w:space="0" w:color="auto"/>
        <w:right w:val="none" w:sz="0" w:space="0" w:color="auto"/>
      </w:divBdr>
    </w:div>
    <w:div w:id="1072461052">
      <w:bodyDiv w:val="1"/>
      <w:marLeft w:val="0"/>
      <w:marRight w:val="0"/>
      <w:marTop w:val="0"/>
      <w:marBottom w:val="0"/>
      <w:divBdr>
        <w:top w:val="none" w:sz="0" w:space="0" w:color="auto"/>
        <w:left w:val="none" w:sz="0" w:space="0" w:color="auto"/>
        <w:bottom w:val="none" w:sz="0" w:space="0" w:color="auto"/>
        <w:right w:val="none" w:sz="0" w:space="0" w:color="auto"/>
      </w:divBdr>
    </w:div>
    <w:div w:id="1081565918">
      <w:bodyDiv w:val="1"/>
      <w:marLeft w:val="0"/>
      <w:marRight w:val="0"/>
      <w:marTop w:val="0"/>
      <w:marBottom w:val="0"/>
      <w:divBdr>
        <w:top w:val="none" w:sz="0" w:space="0" w:color="auto"/>
        <w:left w:val="none" w:sz="0" w:space="0" w:color="auto"/>
        <w:bottom w:val="none" w:sz="0" w:space="0" w:color="auto"/>
        <w:right w:val="none" w:sz="0" w:space="0" w:color="auto"/>
      </w:divBdr>
    </w:div>
    <w:div w:id="1593784209">
      <w:bodyDiv w:val="1"/>
      <w:marLeft w:val="0"/>
      <w:marRight w:val="0"/>
      <w:marTop w:val="0"/>
      <w:marBottom w:val="0"/>
      <w:divBdr>
        <w:top w:val="none" w:sz="0" w:space="0" w:color="auto"/>
        <w:left w:val="none" w:sz="0" w:space="0" w:color="auto"/>
        <w:bottom w:val="none" w:sz="0" w:space="0" w:color="auto"/>
        <w:right w:val="none" w:sz="0" w:space="0" w:color="auto"/>
      </w:divBdr>
    </w:div>
    <w:div w:id="175331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u="none" strike="noStrike" baseline="0">
                <a:effectLst/>
                <a:latin typeface="Times New Roman" panose="02020603050405020304" pitchFamily="18" charset="0"/>
                <a:cs typeface="Times New Roman" panose="02020603050405020304" pitchFamily="18" charset="0"/>
              </a:rPr>
              <a:t>Food and Beverage sales output against time in months</a:t>
            </a:r>
            <a:endParaRPr lang="en-US" sz="1200">
              <a:latin typeface="Times New Roman" panose="02020603050405020304" pitchFamily="18" charset="0"/>
              <a:cs typeface="Times New Roman" panose="02020603050405020304" pitchFamily="18" charset="0"/>
            </a:endParaRPr>
          </a:p>
        </c:rich>
      </c:tx>
      <c:layout>
        <c:manualLayout>
          <c:xMode val="edge"/>
          <c:yMode val="edge"/>
          <c:x val="0.37815963108778067"/>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Sheet1!$B$1</c:f>
              <c:strCache>
                <c:ptCount val="1"/>
                <c:pt idx="0">
                  <c:v>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Sheet1!$A$2:$A$13</c:f>
              <c:strCache>
                <c:ptCount val="12"/>
                <c:pt idx="0">
                  <c:v>jan</c:v>
                </c:pt>
                <c:pt idx="1">
                  <c:v>feb</c:v>
                </c:pt>
                <c:pt idx="2">
                  <c:v>march</c:v>
                </c:pt>
                <c:pt idx="3">
                  <c:v>apr</c:v>
                </c:pt>
                <c:pt idx="4">
                  <c:v>may</c:v>
                </c:pt>
                <c:pt idx="5">
                  <c:v>june</c:v>
                </c:pt>
                <c:pt idx="6">
                  <c:v>july</c:v>
                </c:pt>
                <c:pt idx="7">
                  <c:v>aug</c:v>
                </c:pt>
                <c:pt idx="8">
                  <c:v>sep</c:v>
                </c:pt>
                <c:pt idx="9">
                  <c:v>oct</c:v>
                </c:pt>
                <c:pt idx="10">
                  <c:v>nov</c:v>
                </c:pt>
                <c:pt idx="11">
                  <c:v>dec</c:v>
                </c:pt>
              </c:strCache>
            </c:strRef>
          </c:cat>
          <c:val>
            <c:numRef>
              <c:f>Sheet1!$B$2:$B$13</c:f>
              <c:numCache>
                <c:formatCode>General</c:formatCode>
                <c:ptCount val="12"/>
                <c:pt idx="0">
                  <c:v>296.5</c:v>
                </c:pt>
                <c:pt idx="1">
                  <c:v>274.2</c:v>
                </c:pt>
                <c:pt idx="2">
                  <c:v>280.3</c:v>
                </c:pt>
                <c:pt idx="3">
                  <c:v>216.9</c:v>
                </c:pt>
                <c:pt idx="4">
                  <c:v>221.2</c:v>
                </c:pt>
                <c:pt idx="5">
                  <c:v>169.2</c:v>
                </c:pt>
                <c:pt idx="6">
                  <c:v>176.2</c:v>
                </c:pt>
                <c:pt idx="7">
                  <c:v>183.4</c:v>
                </c:pt>
                <c:pt idx="8">
                  <c:v>134.9</c:v>
                </c:pt>
                <c:pt idx="9">
                  <c:v>153.69999999999999</c:v>
                </c:pt>
                <c:pt idx="10">
                  <c:v>185.3</c:v>
                </c:pt>
                <c:pt idx="11">
                  <c:v>252.8</c:v>
                </c:pt>
              </c:numCache>
            </c:numRef>
          </c:val>
          <c:smooth val="0"/>
        </c:ser>
        <c:ser>
          <c:idx val="1"/>
          <c:order val="1"/>
          <c:tx>
            <c:strRef>
              <c:f>Sheet1!$C$1</c:f>
              <c:strCache>
                <c:ptCount val="1"/>
                <c:pt idx="0">
                  <c:v>months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Sheet1!$A$2:$A$13</c:f>
              <c:strCache>
                <c:ptCount val="12"/>
                <c:pt idx="0">
                  <c:v>jan</c:v>
                </c:pt>
                <c:pt idx="1">
                  <c:v>feb</c:v>
                </c:pt>
                <c:pt idx="2">
                  <c:v>march</c:v>
                </c:pt>
                <c:pt idx="3">
                  <c:v>apr</c:v>
                </c:pt>
                <c:pt idx="4">
                  <c:v>may</c:v>
                </c:pt>
                <c:pt idx="5">
                  <c:v>june</c:v>
                </c:pt>
                <c:pt idx="6">
                  <c:v>july</c:v>
                </c:pt>
                <c:pt idx="7">
                  <c:v>aug</c:v>
                </c:pt>
                <c:pt idx="8">
                  <c:v>sep</c:v>
                </c:pt>
                <c:pt idx="9">
                  <c:v>oct</c:v>
                </c:pt>
                <c:pt idx="10">
                  <c:v>nov</c:v>
                </c:pt>
                <c:pt idx="11">
                  <c:v>dec</c:v>
                </c:pt>
              </c:strCache>
            </c:strRef>
          </c:cat>
          <c:val>
            <c:numRef>
              <c:f>Sheet1!$C$2:$C$13</c:f>
              <c:numCache>
                <c:formatCode>General</c:formatCode>
                <c:ptCount val="12"/>
                <c:pt idx="0">
                  <c:v>0</c:v>
                </c:pt>
              </c:numCache>
            </c:numRef>
          </c:val>
          <c:smooth val="0"/>
        </c:ser>
        <c:ser>
          <c:idx val="2"/>
          <c:order val="2"/>
          <c:tx>
            <c:strRef>
              <c:f>Sheet1!$D$1</c:f>
              <c:strCache>
                <c:ptCount val="1"/>
                <c:pt idx="0">
                  <c:v>Column1</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Sheet1!$A$2:$A$13</c:f>
              <c:strCache>
                <c:ptCount val="12"/>
                <c:pt idx="0">
                  <c:v>jan</c:v>
                </c:pt>
                <c:pt idx="1">
                  <c:v>feb</c:v>
                </c:pt>
                <c:pt idx="2">
                  <c:v>march</c:v>
                </c:pt>
                <c:pt idx="3">
                  <c:v>apr</c:v>
                </c:pt>
                <c:pt idx="4">
                  <c:v>may</c:v>
                </c:pt>
                <c:pt idx="5">
                  <c:v>june</c:v>
                </c:pt>
                <c:pt idx="6">
                  <c:v>july</c:v>
                </c:pt>
                <c:pt idx="7">
                  <c:v>aug</c:v>
                </c:pt>
                <c:pt idx="8">
                  <c:v>sep</c:v>
                </c:pt>
                <c:pt idx="9">
                  <c:v>oct</c:v>
                </c:pt>
                <c:pt idx="10">
                  <c:v>nov</c:v>
                </c:pt>
                <c:pt idx="11">
                  <c:v>dec</c:v>
                </c:pt>
              </c:strCache>
            </c:strRef>
          </c:cat>
          <c:val>
            <c:numRef>
              <c:f>Sheet1!$D$2:$D$13</c:f>
              <c:numCache>
                <c:formatCode>General</c:formatCode>
                <c:ptCount val="12"/>
              </c:numCache>
            </c:numRef>
          </c:val>
          <c:smooth val="0"/>
        </c:ser>
        <c:dLbls>
          <c:showLegendKey val="0"/>
          <c:showVal val="0"/>
          <c:showCatName val="0"/>
          <c:showSerName val="0"/>
          <c:showPercent val="0"/>
          <c:showBubbleSize val="0"/>
        </c:dLbls>
        <c:marker val="1"/>
        <c:smooth val="0"/>
        <c:axId val="324929120"/>
        <c:axId val="328695256"/>
      </c:lineChart>
      <c:catAx>
        <c:axId val="324929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8695256"/>
        <c:crosses val="autoZero"/>
        <c:auto val="1"/>
        <c:lblAlgn val="ctr"/>
        <c:lblOffset val="100"/>
        <c:noMultiLvlLbl val="0"/>
      </c:catAx>
      <c:valAx>
        <c:axId val="328695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4929120"/>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5</Pages>
  <Words>711</Words>
  <Characters>4054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gatu</dc:creator>
  <cp:keywords/>
  <dc:description/>
  <cp:lastModifiedBy>Ken gatu</cp:lastModifiedBy>
  <cp:revision>10</cp:revision>
  <dcterms:created xsi:type="dcterms:W3CDTF">2018-12-13T11:15:00Z</dcterms:created>
  <dcterms:modified xsi:type="dcterms:W3CDTF">2018-12-13T19:33:00Z</dcterms:modified>
</cp:coreProperties>
</file>